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4DAFA5" w14:textId="0E656861" w:rsidR="005D34D2" w:rsidRDefault="005D34D2" w:rsidP="005D34D2">
      <w:pPr>
        <w:jc w:val="center"/>
        <w:rPr>
          <w:rFonts w:asciiTheme="majorHAnsi" w:eastAsiaTheme="majorEastAsia" w:hAnsiTheme="majorHAnsi" w:cstheme="majorBidi"/>
          <w:color w:val="0F4761" w:themeColor="accent1" w:themeShade="BF"/>
          <w:sz w:val="32"/>
          <w:szCs w:val="32"/>
        </w:rPr>
      </w:pPr>
      <w:r w:rsidRPr="005D34D2">
        <w:rPr>
          <w:rFonts w:asciiTheme="majorHAnsi" w:eastAsiaTheme="majorEastAsia" w:hAnsiTheme="majorHAnsi" w:cstheme="majorBidi"/>
          <w:color w:val="0F4761" w:themeColor="accent1" w:themeShade="BF"/>
          <w:sz w:val="32"/>
          <w:szCs w:val="32"/>
        </w:rPr>
        <w:t>"Zielone" inwestycje MŚP</w:t>
      </w:r>
      <w:r w:rsidR="00A72673">
        <w:rPr>
          <w:rFonts w:asciiTheme="majorHAnsi" w:eastAsiaTheme="majorEastAsia" w:hAnsiTheme="majorHAnsi" w:cstheme="majorBidi"/>
          <w:color w:val="0F4761" w:themeColor="accent1" w:themeShade="BF"/>
          <w:sz w:val="32"/>
          <w:szCs w:val="32"/>
        </w:rPr>
        <w:t>.</w:t>
      </w:r>
      <w:r w:rsidRPr="005D34D2">
        <w:rPr>
          <w:rFonts w:asciiTheme="majorHAnsi" w:eastAsiaTheme="majorEastAsia" w:hAnsiTheme="majorHAnsi" w:cstheme="majorBidi"/>
          <w:color w:val="0F4761" w:themeColor="accent1" w:themeShade="BF"/>
          <w:sz w:val="32"/>
          <w:szCs w:val="32"/>
        </w:rPr>
        <w:t xml:space="preserve"> Efektywność energetyczna i gospodarka niskoemisyjna (subregion wałbrzyski)</w:t>
      </w:r>
    </w:p>
    <w:p w14:paraId="215974D4" w14:textId="313B7C5A" w:rsidR="003A3222" w:rsidRDefault="003A3222" w:rsidP="005D34D2">
      <w:r>
        <w:rPr>
          <w:b/>
          <w:bCs/>
        </w:rPr>
        <w:t>Termin naboru:</w:t>
      </w:r>
      <w:r w:rsidRPr="00C55351">
        <w:t xml:space="preserve"> </w:t>
      </w:r>
      <w:r w:rsidR="005D34D2">
        <w:t>06.02 – 31.03.2026</w:t>
      </w:r>
      <w:r w:rsidR="00FA3EAD">
        <w:t>r</w:t>
      </w:r>
    </w:p>
    <w:p w14:paraId="6E61655C" w14:textId="05661112" w:rsidR="00FA3EAD" w:rsidRDefault="00FA3EAD" w:rsidP="005D34D2">
      <w:r w:rsidRPr="00FA3EAD">
        <w:rPr>
          <w:b/>
          <w:bCs/>
        </w:rPr>
        <w:t>Termin realizacji projektu:</w:t>
      </w:r>
      <w:r>
        <w:t xml:space="preserve"> nie później niż 31.10.2027</w:t>
      </w:r>
    </w:p>
    <w:p w14:paraId="0E403BC9" w14:textId="781127B6" w:rsidR="00E919B7" w:rsidRDefault="003A3222" w:rsidP="005D34D2">
      <w:r w:rsidRPr="00C55351">
        <w:rPr>
          <w:b/>
          <w:bCs/>
        </w:rPr>
        <w:t>Podmioty uprawnione</w:t>
      </w:r>
      <w:r w:rsidR="0020514C">
        <w:t xml:space="preserve">: </w:t>
      </w:r>
      <w:r w:rsidR="005D34D2">
        <w:t xml:space="preserve">MŚP realizujące projekt na obszarze subregionu wałbrzyskiego, działające najlepiej od 2 lat (jest to </w:t>
      </w:r>
      <w:r w:rsidR="0043391D">
        <w:t>dodatkowo</w:t>
      </w:r>
      <w:r w:rsidR="005D34D2">
        <w:t xml:space="preserve"> punktowane)</w:t>
      </w:r>
    </w:p>
    <w:p w14:paraId="64BA0147" w14:textId="5FE60AA8" w:rsidR="005D34D2" w:rsidRDefault="005D34D2" w:rsidP="005D34D2">
      <w:r w:rsidRPr="005D34D2">
        <w:rPr>
          <w:b/>
          <w:bCs/>
        </w:rPr>
        <w:t>Subregion wałbrzyski:</w:t>
      </w:r>
      <w:r>
        <w:t xml:space="preserve"> powiaty </w:t>
      </w:r>
      <w:r w:rsidRPr="005D34D2">
        <w:t>dzierżoniowski, kłodzki, świdnicki, wałbrzyski, miasto Wałbrzych na prawach powiatu, ząbkowicki</w:t>
      </w:r>
      <w:r>
        <w:t>.</w:t>
      </w:r>
    </w:p>
    <w:p w14:paraId="097EF3FD" w14:textId="43C062AA" w:rsidR="003A3222" w:rsidRDefault="003A3222" w:rsidP="003A3222">
      <w:r>
        <w:rPr>
          <w:b/>
          <w:bCs/>
        </w:rPr>
        <w:t xml:space="preserve">Możliwe zadania: </w:t>
      </w:r>
    </w:p>
    <w:p w14:paraId="08A463A8" w14:textId="77777777" w:rsidR="005D34D2" w:rsidRPr="005D34D2" w:rsidRDefault="005D34D2" w:rsidP="005D34D2">
      <w:pPr>
        <w:pStyle w:val="Akapitzlist"/>
        <w:numPr>
          <w:ilvl w:val="0"/>
          <w:numId w:val="34"/>
        </w:numPr>
      </w:pPr>
      <w:r w:rsidRPr="005D34D2">
        <w:rPr>
          <w:b/>
          <w:bCs/>
        </w:rPr>
        <w:t xml:space="preserve">Poprawa efektywności energetycznej instalacji przemysłowych </w:t>
      </w:r>
      <w:r w:rsidRPr="005D34D2">
        <w:t>(np. linii produkcyjnych) l</w:t>
      </w:r>
      <w:r w:rsidRPr="005D34D2">
        <w:rPr>
          <w:b/>
          <w:bCs/>
        </w:rPr>
        <w:t>ub wykorzystujących ciepło odpadowe</w:t>
      </w:r>
      <w:r w:rsidRPr="005D34D2">
        <w:t>.</w:t>
      </w:r>
    </w:p>
    <w:p w14:paraId="258FE2AC" w14:textId="2349FC73" w:rsidR="005D34D2" w:rsidRPr="005D34D2" w:rsidRDefault="005D34D2" w:rsidP="005D34D2">
      <w:pPr>
        <w:pStyle w:val="Akapitzlist"/>
        <w:numPr>
          <w:ilvl w:val="0"/>
          <w:numId w:val="34"/>
        </w:numPr>
      </w:pPr>
      <w:r w:rsidRPr="005D34D2">
        <w:rPr>
          <w:b/>
          <w:bCs/>
        </w:rPr>
        <w:t>Termomodernizacja budynków, wymiana lub modernizacja źródła energii</w:t>
      </w:r>
      <w:r w:rsidRPr="005D34D2">
        <w:t>, mająca na celu zwiększenie efektywności energetycznej poprzez zmniejszenie strat ciepła oraz zmniejszenie zużycia energii elektrycznej; </w:t>
      </w:r>
    </w:p>
    <w:p w14:paraId="1BF7B4A2" w14:textId="68669DCB" w:rsidR="005D34D2" w:rsidRDefault="005D34D2" w:rsidP="005D34D2">
      <w:pPr>
        <w:pStyle w:val="Akapitzlist"/>
        <w:numPr>
          <w:ilvl w:val="0"/>
          <w:numId w:val="34"/>
        </w:numPr>
      </w:pPr>
      <w:r w:rsidRPr="005D34D2">
        <w:rPr>
          <w:b/>
          <w:bCs/>
        </w:rPr>
        <w:t xml:space="preserve">Instalacje OZE w tym z magazynem energii </w:t>
      </w:r>
      <w:r w:rsidRPr="005D34D2">
        <w:t>(za wyjątkiem MSP dla których produkcja energii elektrycznej stanowi główny PKD); </w:t>
      </w:r>
    </w:p>
    <w:p w14:paraId="69B65D1F" w14:textId="53FA7DE6" w:rsidR="005D34D2" w:rsidRDefault="005D34D2" w:rsidP="005D34D2">
      <w:r w:rsidRPr="005D34D2">
        <w:rPr>
          <w:b/>
          <w:bCs/>
        </w:rPr>
        <w:t>Alokacja naboru:</w:t>
      </w:r>
      <w:r>
        <w:t xml:space="preserve"> 30 mln zł</w:t>
      </w:r>
    </w:p>
    <w:p w14:paraId="24416F9B" w14:textId="6A7637C5" w:rsidR="005D34D2" w:rsidRDefault="005D34D2" w:rsidP="005D34D2">
      <w:r w:rsidRPr="005D34D2">
        <w:rPr>
          <w:b/>
          <w:bCs/>
        </w:rPr>
        <w:t>Możliwe dofinansowanie</w:t>
      </w:r>
      <w:r>
        <w:t>: do 1,5 mln zł</w:t>
      </w:r>
    </w:p>
    <w:p w14:paraId="39ECDCDE" w14:textId="12AA5EB1" w:rsidR="005D34D2" w:rsidRDefault="005D34D2" w:rsidP="005D34D2">
      <w:pPr>
        <w:rPr>
          <w:b/>
          <w:bCs/>
        </w:rPr>
      </w:pPr>
      <w:r w:rsidRPr="005D34D2">
        <w:rPr>
          <w:b/>
          <w:bCs/>
        </w:rPr>
        <w:t xml:space="preserve">% dotacji: </w:t>
      </w:r>
      <w:r>
        <w:rPr>
          <w:b/>
          <w:bCs/>
        </w:rPr>
        <w:t xml:space="preserve">różny w zależności od rodzajów inwestycji, zgodnie z poniższą tabelą: </w:t>
      </w:r>
    </w:p>
    <w:tbl>
      <w:tblPr>
        <w:tblStyle w:val="Tabela-Siatka"/>
        <w:tblW w:w="0" w:type="auto"/>
        <w:tblLook w:val="04A0" w:firstRow="1" w:lastRow="0" w:firstColumn="1" w:lastColumn="0" w:noHBand="0" w:noVBand="1"/>
      </w:tblPr>
      <w:tblGrid>
        <w:gridCol w:w="6374"/>
        <w:gridCol w:w="1418"/>
        <w:gridCol w:w="1270"/>
      </w:tblGrid>
      <w:tr w:rsidR="005D34D2" w14:paraId="6BD2BE0B" w14:textId="77777777" w:rsidTr="005D34D2">
        <w:tc>
          <w:tcPr>
            <w:tcW w:w="6374" w:type="dxa"/>
          </w:tcPr>
          <w:p w14:paraId="00704E1D" w14:textId="77777777" w:rsidR="005D34D2" w:rsidRDefault="005D34D2" w:rsidP="005D34D2">
            <w:pPr>
              <w:rPr>
                <w:b/>
                <w:bCs/>
              </w:rPr>
            </w:pPr>
          </w:p>
        </w:tc>
        <w:tc>
          <w:tcPr>
            <w:tcW w:w="1418" w:type="dxa"/>
          </w:tcPr>
          <w:p w14:paraId="6F715C64" w14:textId="7977B76D" w:rsidR="005D34D2" w:rsidRDefault="005D34D2" w:rsidP="005D34D2">
            <w:pPr>
              <w:rPr>
                <w:b/>
                <w:bCs/>
              </w:rPr>
            </w:pPr>
            <w:r>
              <w:rPr>
                <w:b/>
                <w:bCs/>
              </w:rPr>
              <w:t>Mikro/małe</w:t>
            </w:r>
          </w:p>
        </w:tc>
        <w:tc>
          <w:tcPr>
            <w:tcW w:w="1270" w:type="dxa"/>
          </w:tcPr>
          <w:p w14:paraId="6AF24876" w14:textId="475AB2CD" w:rsidR="005D34D2" w:rsidRDefault="005D34D2" w:rsidP="005D34D2">
            <w:pPr>
              <w:rPr>
                <w:b/>
                <w:bCs/>
              </w:rPr>
            </w:pPr>
            <w:r>
              <w:rPr>
                <w:b/>
                <w:bCs/>
              </w:rPr>
              <w:t>Średnie</w:t>
            </w:r>
          </w:p>
        </w:tc>
      </w:tr>
      <w:tr w:rsidR="005D34D2" w14:paraId="62F7DF3D" w14:textId="77777777" w:rsidTr="005D34D2">
        <w:tc>
          <w:tcPr>
            <w:tcW w:w="6374" w:type="dxa"/>
          </w:tcPr>
          <w:p w14:paraId="0ED18A7C" w14:textId="7E2B5715" w:rsidR="005D34D2" w:rsidRPr="005D34D2" w:rsidRDefault="005D34D2" w:rsidP="005D34D2">
            <w:r w:rsidRPr="005D34D2">
              <w:t>Poprawa efektywności energetycznej instalacji przemysłowych (np. linii produkcyjnych) lub wykorzystujących ciepło odpadowe.</w:t>
            </w:r>
          </w:p>
        </w:tc>
        <w:tc>
          <w:tcPr>
            <w:tcW w:w="1418" w:type="dxa"/>
          </w:tcPr>
          <w:p w14:paraId="17BA6C79" w14:textId="6E0DC45A" w:rsidR="005D34D2" w:rsidRPr="005D34D2" w:rsidRDefault="005D34D2" w:rsidP="005D34D2">
            <w:r w:rsidRPr="005D34D2">
              <w:t>Do 55%</w:t>
            </w:r>
          </w:p>
        </w:tc>
        <w:tc>
          <w:tcPr>
            <w:tcW w:w="1270" w:type="dxa"/>
          </w:tcPr>
          <w:p w14:paraId="65E024FD" w14:textId="1CEE3EAA" w:rsidR="005D34D2" w:rsidRPr="005D34D2" w:rsidRDefault="005D34D2" w:rsidP="005D34D2">
            <w:r w:rsidRPr="005D34D2">
              <w:t xml:space="preserve">Do 45% </w:t>
            </w:r>
          </w:p>
        </w:tc>
      </w:tr>
      <w:tr w:rsidR="005D34D2" w14:paraId="134DD35A" w14:textId="77777777" w:rsidTr="005D34D2">
        <w:tc>
          <w:tcPr>
            <w:tcW w:w="6374" w:type="dxa"/>
          </w:tcPr>
          <w:p w14:paraId="5A3C257D" w14:textId="4E09DBAE" w:rsidR="005D34D2" w:rsidRPr="005D34D2" w:rsidRDefault="005D34D2" w:rsidP="005D34D2">
            <w:r w:rsidRPr="005D34D2">
              <w:t>Termomodernizacja budynków, wymiana lub modernizacja źródła energii, mająca na celu zwiększenie efektywności energetycznej poprzez zmniejszenie strat ciepła oraz zmniejszenie zużycia energii elektrycznej;</w:t>
            </w:r>
          </w:p>
        </w:tc>
        <w:tc>
          <w:tcPr>
            <w:tcW w:w="1418" w:type="dxa"/>
          </w:tcPr>
          <w:p w14:paraId="50770FB1" w14:textId="0E66234E" w:rsidR="005D34D2" w:rsidRPr="005D34D2" w:rsidRDefault="005D34D2" w:rsidP="005D34D2">
            <w:r w:rsidRPr="005D34D2">
              <w:t>Do 55%</w:t>
            </w:r>
          </w:p>
        </w:tc>
        <w:tc>
          <w:tcPr>
            <w:tcW w:w="1270" w:type="dxa"/>
          </w:tcPr>
          <w:p w14:paraId="02A1C6A1" w14:textId="1696714A" w:rsidR="005D34D2" w:rsidRPr="005D34D2" w:rsidRDefault="005D34D2" w:rsidP="005D34D2">
            <w:r w:rsidRPr="005D34D2">
              <w:t>Do 45%</w:t>
            </w:r>
          </w:p>
        </w:tc>
      </w:tr>
      <w:tr w:rsidR="005D34D2" w14:paraId="4E6E3464" w14:textId="77777777" w:rsidTr="005D34D2">
        <w:tc>
          <w:tcPr>
            <w:tcW w:w="6374" w:type="dxa"/>
          </w:tcPr>
          <w:p w14:paraId="2BB1D467" w14:textId="4188F089" w:rsidR="005D34D2" w:rsidRPr="005D34D2" w:rsidRDefault="005D34D2" w:rsidP="005D34D2">
            <w:r w:rsidRPr="005D34D2">
              <w:t>Powyższe, gdy dotyczy instalacji/wymiany jednego elementu budynku</w:t>
            </w:r>
          </w:p>
        </w:tc>
        <w:tc>
          <w:tcPr>
            <w:tcW w:w="1418" w:type="dxa"/>
          </w:tcPr>
          <w:p w14:paraId="602E4071" w14:textId="779ED2C6" w:rsidR="005D34D2" w:rsidRPr="005D34D2" w:rsidRDefault="005D34D2" w:rsidP="005D34D2">
            <w:r w:rsidRPr="005D34D2">
              <w:t>Do 50%</w:t>
            </w:r>
          </w:p>
        </w:tc>
        <w:tc>
          <w:tcPr>
            <w:tcW w:w="1270" w:type="dxa"/>
          </w:tcPr>
          <w:p w14:paraId="696B24C3" w14:textId="6F9E9C62" w:rsidR="005D34D2" w:rsidRPr="005D34D2" w:rsidRDefault="005D34D2" w:rsidP="005D34D2">
            <w:r w:rsidRPr="005D34D2">
              <w:t>Do 40%</w:t>
            </w:r>
          </w:p>
        </w:tc>
      </w:tr>
      <w:tr w:rsidR="005D34D2" w14:paraId="338BD948" w14:textId="77777777" w:rsidTr="005D34D2">
        <w:tc>
          <w:tcPr>
            <w:tcW w:w="6374" w:type="dxa"/>
          </w:tcPr>
          <w:p w14:paraId="74DCBB37" w14:textId="6A2A3EC5" w:rsidR="005D34D2" w:rsidRPr="005D34D2" w:rsidRDefault="005D34D2" w:rsidP="005D34D2">
            <w:r w:rsidRPr="005D34D2">
              <w:t>Instalacje OZE w tym wraz z magazynem energii (za wyjątkiem MSP dla których produkcja energii elektrycznej stanowi główny PKD)</w:t>
            </w:r>
          </w:p>
        </w:tc>
        <w:tc>
          <w:tcPr>
            <w:tcW w:w="1418" w:type="dxa"/>
          </w:tcPr>
          <w:p w14:paraId="5307137B" w14:textId="1BEAEA60" w:rsidR="005D34D2" w:rsidRPr="005D34D2" w:rsidRDefault="005D34D2" w:rsidP="005D34D2">
            <w:r w:rsidRPr="005D34D2">
              <w:t>Do 65%</w:t>
            </w:r>
          </w:p>
        </w:tc>
        <w:tc>
          <w:tcPr>
            <w:tcW w:w="1270" w:type="dxa"/>
          </w:tcPr>
          <w:p w14:paraId="5183421B" w14:textId="5CB106E3" w:rsidR="005D34D2" w:rsidRPr="005D34D2" w:rsidRDefault="005D34D2" w:rsidP="005D34D2">
            <w:r w:rsidRPr="005D34D2">
              <w:t>Do 55%</w:t>
            </w:r>
          </w:p>
        </w:tc>
      </w:tr>
      <w:tr w:rsidR="005D34D2" w14:paraId="20DA2CDC" w14:textId="77777777" w:rsidTr="005D34D2">
        <w:tc>
          <w:tcPr>
            <w:tcW w:w="6374" w:type="dxa"/>
          </w:tcPr>
          <w:p w14:paraId="171B5FF9" w14:textId="248A56A2" w:rsidR="005D34D2" w:rsidRPr="005D34D2" w:rsidRDefault="005D34D2" w:rsidP="005D34D2">
            <w:r w:rsidRPr="005D34D2">
              <w:t>w przypadku inwestycji innych niż inwestycje w produkcję odnawialnych źródeł energii, w tym pomp ciepła, wysokosprawnej kogeneracji opartej na odnawialnych źródłach energii</w:t>
            </w:r>
          </w:p>
        </w:tc>
        <w:tc>
          <w:tcPr>
            <w:tcW w:w="1418" w:type="dxa"/>
          </w:tcPr>
          <w:p w14:paraId="103D8B82" w14:textId="679FA5EF" w:rsidR="005D34D2" w:rsidRPr="005D34D2" w:rsidRDefault="005D34D2" w:rsidP="005D34D2">
            <w:r w:rsidRPr="005D34D2">
              <w:t>Do 50%</w:t>
            </w:r>
          </w:p>
        </w:tc>
        <w:tc>
          <w:tcPr>
            <w:tcW w:w="1270" w:type="dxa"/>
          </w:tcPr>
          <w:p w14:paraId="241DA89C" w14:textId="01480364" w:rsidR="005D34D2" w:rsidRPr="005D34D2" w:rsidRDefault="005D34D2" w:rsidP="005D34D2">
            <w:r w:rsidRPr="005D34D2">
              <w:t>Do 40%</w:t>
            </w:r>
          </w:p>
        </w:tc>
      </w:tr>
      <w:tr w:rsidR="005D34D2" w14:paraId="48C838C2" w14:textId="77777777" w:rsidTr="005D34D2">
        <w:tc>
          <w:tcPr>
            <w:tcW w:w="6374" w:type="dxa"/>
          </w:tcPr>
          <w:p w14:paraId="04E43244" w14:textId="2104B799" w:rsidR="005D34D2" w:rsidRPr="005D34D2" w:rsidRDefault="005D34D2" w:rsidP="005D34D2">
            <w:r>
              <w:t xml:space="preserve">Wydatki </w:t>
            </w:r>
            <w:r w:rsidR="00FA3EAD">
              <w:t xml:space="preserve">związane z tzw. pomocą de </w:t>
            </w:r>
            <w:proofErr w:type="spellStart"/>
            <w:r w:rsidR="00FA3EAD">
              <w:t>minimis</w:t>
            </w:r>
            <w:proofErr w:type="spellEnd"/>
            <w:r w:rsidR="00FA3EAD">
              <w:t xml:space="preserve"> – komponent doradczy, dokumentacja</w:t>
            </w:r>
          </w:p>
        </w:tc>
        <w:tc>
          <w:tcPr>
            <w:tcW w:w="1418" w:type="dxa"/>
          </w:tcPr>
          <w:p w14:paraId="41691273" w14:textId="7CD17AB5" w:rsidR="005D34D2" w:rsidRPr="005D34D2" w:rsidRDefault="005D34D2" w:rsidP="005D34D2">
            <w:r>
              <w:t>Do 70%</w:t>
            </w:r>
          </w:p>
        </w:tc>
        <w:tc>
          <w:tcPr>
            <w:tcW w:w="1270" w:type="dxa"/>
          </w:tcPr>
          <w:p w14:paraId="76F5A502" w14:textId="01723E8C" w:rsidR="005D34D2" w:rsidRPr="005D34D2" w:rsidRDefault="005D34D2" w:rsidP="005D34D2">
            <w:r>
              <w:t>Do 70%</w:t>
            </w:r>
          </w:p>
        </w:tc>
      </w:tr>
    </w:tbl>
    <w:p w14:paraId="5C6342F4" w14:textId="77777777" w:rsidR="005D34D2" w:rsidRDefault="005D34D2" w:rsidP="005D34D2">
      <w:pPr>
        <w:rPr>
          <w:b/>
          <w:bCs/>
        </w:rPr>
      </w:pPr>
    </w:p>
    <w:p w14:paraId="31ACC432" w14:textId="77777777" w:rsidR="005D34D2" w:rsidRPr="005D34D2" w:rsidRDefault="005D34D2" w:rsidP="005D34D2">
      <w:pPr>
        <w:rPr>
          <w:b/>
          <w:bCs/>
        </w:rPr>
      </w:pPr>
    </w:p>
    <w:p w14:paraId="2D6B3266" w14:textId="77777777" w:rsidR="005D34D2" w:rsidRPr="005D34D2" w:rsidRDefault="005D34D2" w:rsidP="005D34D2"/>
    <w:p w14:paraId="6169800B" w14:textId="2004BC2E" w:rsidR="00E919B7" w:rsidRDefault="00907602" w:rsidP="00E919B7">
      <w:pPr>
        <w:rPr>
          <w:b/>
          <w:bCs/>
        </w:rPr>
      </w:pPr>
      <w:r>
        <w:rPr>
          <w:b/>
          <w:bCs/>
        </w:rPr>
        <w:t xml:space="preserve">Warunki: </w:t>
      </w:r>
    </w:p>
    <w:p w14:paraId="13665839" w14:textId="77777777" w:rsidR="00FA3EAD" w:rsidRPr="00FA3EAD" w:rsidRDefault="00FA3EAD" w:rsidP="00FA3EAD">
      <w:pPr>
        <w:pStyle w:val="Akapitzlist"/>
        <w:numPr>
          <w:ilvl w:val="0"/>
          <w:numId w:val="38"/>
        </w:numPr>
      </w:pPr>
      <w:r w:rsidRPr="00FA3EAD">
        <w:t xml:space="preserve">We wszystkich projektach dotyczących efektywności energetycznej należy przyjąć minimalny próg oszczędności energii pierwotnej na poziomie nie niższym niż 30%, potwierdzony </w:t>
      </w:r>
    </w:p>
    <w:p w14:paraId="58534B3D" w14:textId="77777777" w:rsidR="00FA3EAD" w:rsidRPr="00FA3EAD" w:rsidRDefault="00FA3EAD" w:rsidP="00FA3EAD">
      <w:pPr>
        <w:pStyle w:val="Akapitzlist"/>
        <w:numPr>
          <w:ilvl w:val="1"/>
          <w:numId w:val="38"/>
        </w:numPr>
      </w:pPr>
      <w:r w:rsidRPr="00FA3EAD">
        <w:t xml:space="preserve">wymaganym audytem energetycznym (w </w:t>
      </w:r>
      <w:proofErr w:type="gramStart"/>
      <w:r w:rsidRPr="00FA3EAD">
        <w:t>przypadku</w:t>
      </w:r>
      <w:proofErr w:type="gramEnd"/>
      <w:r w:rsidRPr="00FA3EAD">
        <w:t xml:space="preserve"> gdy projekt dotyczy wyłącznie termomodernizacji budynku/budynków, nie dotyczy zabytków – tam musi być oszczędność, ale bez minimalnej wartości) lub </w:t>
      </w:r>
    </w:p>
    <w:p w14:paraId="0E7A3669" w14:textId="77777777" w:rsidR="00FA3EAD" w:rsidRPr="00FA3EAD" w:rsidRDefault="00FA3EAD" w:rsidP="00FA3EAD">
      <w:pPr>
        <w:pStyle w:val="Akapitzlist"/>
        <w:numPr>
          <w:ilvl w:val="1"/>
          <w:numId w:val="38"/>
        </w:numPr>
      </w:pPr>
      <w:r w:rsidRPr="00FA3EAD">
        <w:t xml:space="preserve">audytem efektywności energetycznej (w przypadku, gdy projekt obejmuje ocenę budynków, transportu, instalacji i urządzeń itd.). Zakres działań, w odniesieniu do budynków, urządzeń technicznych lub instalacji i </w:t>
      </w:r>
      <w:proofErr w:type="gramStart"/>
      <w:r w:rsidRPr="00FA3EAD">
        <w:t>procesów  technologicznych</w:t>
      </w:r>
      <w:proofErr w:type="gramEnd"/>
      <w:r w:rsidRPr="00FA3EAD">
        <w:t xml:space="preserve">, powinien wynikać z  ww. audytów. </w:t>
      </w:r>
    </w:p>
    <w:p w14:paraId="0186060F" w14:textId="77777777" w:rsidR="00FA3EAD" w:rsidRPr="00FA3EAD" w:rsidRDefault="00FA3EAD" w:rsidP="00FA3EAD">
      <w:pPr>
        <w:pStyle w:val="Akapitzlist"/>
        <w:numPr>
          <w:ilvl w:val="0"/>
          <w:numId w:val="38"/>
        </w:numPr>
      </w:pPr>
      <w:r w:rsidRPr="00FA3EAD">
        <w:t xml:space="preserve">W przypadku </w:t>
      </w:r>
      <w:proofErr w:type="gramStart"/>
      <w:r w:rsidRPr="00FA3EAD">
        <w:t>projektów</w:t>
      </w:r>
      <w:proofErr w:type="gramEnd"/>
      <w:r w:rsidRPr="00FA3EAD">
        <w:t xml:space="preserve"> gdzie OZE jest elementem projektu, wytworzona energia z OZE jest doliczana do ogólnego bilansu energetycznego w audytach.</w:t>
      </w:r>
    </w:p>
    <w:p w14:paraId="0DA30B80" w14:textId="77777777" w:rsidR="00FA3EAD" w:rsidRPr="00FA3EAD" w:rsidRDefault="00FA3EAD" w:rsidP="00FA3EAD">
      <w:pPr>
        <w:pStyle w:val="Akapitzlist"/>
        <w:numPr>
          <w:ilvl w:val="0"/>
          <w:numId w:val="38"/>
        </w:numPr>
      </w:pPr>
      <w:r w:rsidRPr="00FA3EAD">
        <w:t xml:space="preserve">W przypadku gdy </w:t>
      </w:r>
      <w:proofErr w:type="gramStart"/>
      <w:r w:rsidRPr="00FA3EAD">
        <w:t>dla  projektu</w:t>
      </w:r>
      <w:proofErr w:type="gramEnd"/>
      <w:r w:rsidRPr="00FA3EAD">
        <w:t xml:space="preserve"> przygotowano kilka audytów (np. audyt energetyczny dla  </w:t>
      </w:r>
      <w:proofErr w:type="spellStart"/>
      <w:r w:rsidRPr="00FA3EAD">
        <w:t>temomodernizowanego</w:t>
      </w:r>
      <w:proofErr w:type="spellEnd"/>
      <w:r w:rsidRPr="00FA3EAD">
        <w:t xml:space="preserve"> budynku i audyt efektywności energetycznej dla linii  technologicznej), wymóg oszczędność energii pierwotnej  na poziomie nie mniejszym niż 30 %, obowiązuje dla każdego z audytów.  </w:t>
      </w:r>
    </w:p>
    <w:p w14:paraId="42FCDAC2" w14:textId="77777777" w:rsidR="00FA3EAD" w:rsidRPr="00FA3EAD" w:rsidRDefault="00FA3EAD" w:rsidP="00FA3EAD">
      <w:pPr>
        <w:pStyle w:val="Akapitzlist"/>
        <w:numPr>
          <w:ilvl w:val="0"/>
          <w:numId w:val="38"/>
        </w:numPr>
      </w:pPr>
      <w:r w:rsidRPr="00FA3EAD">
        <w:t xml:space="preserve">W przypadku, kiedy projekt będzie dotyczył jedynie instalacji OZE w tym z magazynami, efektem realizacji projektu jest zamiana energii konwencjonalnej na energię z odnawialnych źródeł energii (OZE) na poziomie nie mniejszym niż 30 % w bilansie energetycznym objętym zakresem projektu.  </w:t>
      </w:r>
    </w:p>
    <w:p w14:paraId="79611EB9" w14:textId="77777777" w:rsidR="00FA3EAD" w:rsidRPr="00FA3EAD" w:rsidRDefault="00FA3EAD" w:rsidP="00FA3EAD">
      <w:pPr>
        <w:pStyle w:val="Akapitzlist"/>
        <w:numPr>
          <w:ilvl w:val="0"/>
          <w:numId w:val="38"/>
        </w:numPr>
      </w:pPr>
      <w:r w:rsidRPr="00FA3EAD">
        <w:t>Obowiązuje hierarchia źródeł ciepła przy wymianie – najpierw OZE, później ciepło sieciowe. Paliwa kopalne nie są możliwe do sfinansowania</w:t>
      </w:r>
    </w:p>
    <w:p w14:paraId="1DE4AA6D" w14:textId="77777777" w:rsidR="00FA3EAD" w:rsidRPr="00FA3EAD" w:rsidRDefault="00FA3EAD" w:rsidP="00FA3EAD">
      <w:pPr>
        <w:pStyle w:val="Akapitzlist"/>
        <w:numPr>
          <w:ilvl w:val="0"/>
          <w:numId w:val="38"/>
        </w:numPr>
      </w:pPr>
      <w:r w:rsidRPr="00FA3EAD">
        <w:t>Dodatkowo – do 15% kosztów – można sfinansować inne uzasadnione elementy, także niewynikające z audytów, jak magazyny energii, rynny, tynki, budowę i instalację infrastruktury ładowania, urządzenia do cyfryzacji, zieloną infrastrukturę, dostosowanie do potrzeb osób z niepełnosprawnościami</w:t>
      </w:r>
    </w:p>
    <w:p w14:paraId="1CEADA15" w14:textId="05A37918" w:rsidR="00907602" w:rsidRDefault="00FA3EAD" w:rsidP="00FA3EAD">
      <w:pPr>
        <w:pStyle w:val="Akapitzlist"/>
        <w:numPr>
          <w:ilvl w:val="0"/>
          <w:numId w:val="38"/>
        </w:numPr>
      </w:pPr>
      <w:r w:rsidRPr="00FA3EAD">
        <w:t>Do 5% kosztów można przeznaczyć na prace przygotowawcze</w:t>
      </w:r>
    </w:p>
    <w:p w14:paraId="2D256581" w14:textId="358A3BCB" w:rsidR="003A3222" w:rsidRDefault="00FA3EAD" w:rsidP="003A3222">
      <w:pPr>
        <w:rPr>
          <w:b/>
          <w:bCs/>
        </w:rPr>
      </w:pPr>
      <w:r>
        <w:rPr>
          <w:b/>
          <w:bCs/>
        </w:rPr>
        <w:t>Kluczowe kryteria:</w:t>
      </w:r>
    </w:p>
    <w:p w14:paraId="4E005600" w14:textId="406E1FDE" w:rsidR="00961D50" w:rsidRPr="00961D50" w:rsidRDefault="00961D50" w:rsidP="00961D50">
      <w:pPr>
        <w:pStyle w:val="Akapitzlist"/>
        <w:numPr>
          <w:ilvl w:val="0"/>
          <w:numId w:val="39"/>
        </w:numPr>
        <w:rPr>
          <w:b/>
          <w:bCs/>
        </w:rPr>
      </w:pPr>
      <w:r>
        <w:t xml:space="preserve">Prowadzenie działalności co najmniej od co najmniej 2 lat na obszarze subregionu wałbrzyskiego. </w:t>
      </w:r>
    </w:p>
    <w:p w14:paraId="000B9B02" w14:textId="77777777" w:rsidR="00961D50" w:rsidRPr="00961D50" w:rsidRDefault="00961D50" w:rsidP="00961D50">
      <w:pPr>
        <w:pStyle w:val="Akapitzlist"/>
        <w:numPr>
          <w:ilvl w:val="1"/>
          <w:numId w:val="39"/>
        </w:numPr>
        <w:rPr>
          <w:b/>
          <w:bCs/>
        </w:rPr>
      </w:pPr>
      <w:r>
        <w:t xml:space="preserve">Dodatkowe punkty można otrzymać za realizację projektu na terenie następujących gmin: </w:t>
      </w:r>
    </w:p>
    <w:p w14:paraId="18A357F7" w14:textId="77777777" w:rsidR="00961D50" w:rsidRPr="00961D50" w:rsidRDefault="00961D50" w:rsidP="00961D50">
      <w:pPr>
        <w:pStyle w:val="Akapitzlist"/>
        <w:numPr>
          <w:ilvl w:val="2"/>
          <w:numId w:val="39"/>
        </w:numPr>
        <w:rPr>
          <w:b/>
          <w:bCs/>
        </w:rPr>
      </w:pPr>
      <w:r w:rsidRPr="00961D50">
        <w:t>Nowa Ruda (m.), Nowa Ruda (w.), Kłodzko (m.), Kłodzko (w.), Radków – powiat kłodzki</w:t>
      </w:r>
    </w:p>
    <w:p w14:paraId="65CF2139" w14:textId="77777777" w:rsidR="00961D50" w:rsidRPr="00961D50" w:rsidRDefault="00961D50" w:rsidP="00961D50">
      <w:pPr>
        <w:pStyle w:val="Akapitzlist"/>
        <w:numPr>
          <w:ilvl w:val="2"/>
          <w:numId w:val="39"/>
        </w:numPr>
        <w:rPr>
          <w:b/>
          <w:bCs/>
        </w:rPr>
      </w:pPr>
      <w:r w:rsidRPr="00961D50">
        <w:t xml:space="preserve">Świdnica (m.), Świdnica (w.), Świebodzice – powiat świdnicki </w:t>
      </w:r>
    </w:p>
    <w:p w14:paraId="4AB7DFAF" w14:textId="77777777" w:rsidR="00961D50" w:rsidRPr="00961D50" w:rsidRDefault="00961D50" w:rsidP="00961D50">
      <w:pPr>
        <w:pStyle w:val="Akapitzlist"/>
        <w:numPr>
          <w:ilvl w:val="2"/>
          <w:numId w:val="39"/>
        </w:numPr>
        <w:rPr>
          <w:b/>
          <w:bCs/>
        </w:rPr>
      </w:pPr>
      <w:r w:rsidRPr="00961D50">
        <w:t>m. Wałbrzych</w:t>
      </w:r>
    </w:p>
    <w:p w14:paraId="7C79D487" w14:textId="1373D5C0" w:rsidR="00961D50" w:rsidRPr="00961D50" w:rsidRDefault="00961D50" w:rsidP="00961D50">
      <w:pPr>
        <w:pStyle w:val="Akapitzlist"/>
        <w:numPr>
          <w:ilvl w:val="2"/>
          <w:numId w:val="39"/>
        </w:numPr>
        <w:rPr>
          <w:b/>
          <w:bCs/>
        </w:rPr>
      </w:pPr>
      <w:r w:rsidRPr="00961D50">
        <w:t>Walim, Jedlina-Zdrój, Głuszyca, Mieroszów, Boguszów-Gorce, Czarny Bór,</w:t>
      </w:r>
      <w:r>
        <w:t xml:space="preserve"> </w:t>
      </w:r>
      <w:r w:rsidRPr="00961D50">
        <w:t>Szczawno-Zdrój, Stare Bogaczowice – powiat wałbrzys</w:t>
      </w:r>
      <w:r>
        <w:t>ki</w:t>
      </w:r>
    </w:p>
    <w:p w14:paraId="0ECE8172" w14:textId="321C481C" w:rsidR="00961D50" w:rsidRDefault="00961D50" w:rsidP="00961D50">
      <w:pPr>
        <w:pStyle w:val="Akapitzlist"/>
        <w:numPr>
          <w:ilvl w:val="2"/>
          <w:numId w:val="39"/>
        </w:numPr>
      </w:pPr>
      <w:r>
        <w:t xml:space="preserve">Oraz za realizację na terenie wiejskim </w:t>
      </w:r>
    </w:p>
    <w:p w14:paraId="5597BD05" w14:textId="5714B968" w:rsidR="00961D50" w:rsidRDefault="00961D50" w:rsidP="00961D50">
      <w:pPr>
        <w:pStyle w:val="Akapitzlist"/>
        <w:numPr>
          <w:ilvl w:val="0"/>
          <w:numId w:val="39"/>
        </w:numPr>
      </w:pPr>
      <w:r>
        <w:lastRenderedPageBreak/>
        <w:t>Efekt redukcji CO2 i oszczędności energii – najwyżej premiowana jest redukcja CO2 o min. 60% i oszczędność energii pierwotnej o minimum 55% (jest to jednocześnie pierwsze kryterium rozstrzygające, w przypadku projektów o równej liczbie punktów)</w:t>
      </w:r>
    </w:p>
    <w:p w14:paraId="621A7EEC" w14:textId="792C858B" w:rsidR="00961D50" w:rsidRDefault="00961D50" w:rsidP="00961D50">
      <w:pPr>
        <w:pStyle w:val="Akapitzlist"/>
        <w:numPr>
          <w:ilvl w:val="0"/>
          <w:numId w:val="39"/>
        </w:numPr>
      </w:pPr>
      <w:r>
        <w:t>W</w:t>
      </w:r>
      <w:bookmarkStart w:id="0" w:name="_GoBack"/>
      <w:bookmarkEnd w:id="0"/>
      <w:r>
        <w:t xml:space="preserve">pływ na obniżenie emisji – najwyżej premiowane jest jednoczesne obniżenie pyłów PM 10, PM 2,5 oraz </w:t>
      </w:r>
      <w:proofErr w:type="spellStart"/>
      <w:r>
        <w:t>benzo</w:t>
      </w:r>
      <w:proofErr w:type="spellEnd"/>
      <w:r>
        <w:t>(a)</w:t>
      </w:r>
      <w:proofErr w:type="spellStart"/>
      <w:r>
        <w:t>pirenu</w:t>
      </w:r>
      <w:proofErr w:type="spellEnd"/>
    </w:p>
    <w:p w14:paraId="35A53D17" w14:textId="745F1302" w:rsidR="00961D50" w:rsidRDefault="00961D50" w:rsidP="00961D50">
      <w:pPr>
        <w:pStyle w:val="Akapitzlist"/>
        <w:numPr>
          <w:ilvl w:val="0"/>
          <w:numId w:val="39"/>
        </w:numPr>
      </w:pPr>
      <w:r>
        <w:t>Wzrost zatrudnienia (pełny etat, na co najmniej rok po zakończeniu projektu) – najlepiej od 2 osób</w:t>
      </w:r>
    </w:p>
    <w:p w14:paraId="2222C401" w14:textId="1B87DA46" w:rsidR="00961D50" w:rsidRDefault="00961D50" w:rsidP="00961D50">
      <w:pPr>
        <w:pStyle w:val="Akapitzlist"/>
        <w:numPr>
          <w:ilvl w:val="0"/>
          <w:numId w:val="39"/>
        </w:numPr>
      </w:pPr>
      <w:r>
        <w:t>Wykorzystanie ciepła odpadowego, najlepiej wraz z przekazywaniem go do innych odbiorców</w:t>
      </w:r>
    </w:p>
    <w:p w14:paraId="1B49F2AC" w14:textId="2A94C54B" w:rsidR="00961D50" w:rsidRDefault="00961D50" w:rsidP="0043391D">
      <w:pPr>
        <w:pStyle w:val="Akapitzlist"/>
        <w:numPr>
          <w:ilvl w:val="0"/>
          <w:numId w:val="39"/>
        </w:numPr>
      </w:pPr>
      <w:r>
        <w:t>Klauzule społeczne w zamówieniach publicznych</w:t>
      </w:r>
    </w:p>
    <w:p w14:paraId="2370D642" w14:textId="77777777" w:rsidR="00961D50" w:rsidRPr="00961D50" w:rsidRDefault="00961D50" w:rsidP="00961D50">
      <w:pPr>
        <w:pStyle w:val="Akapitzlist"/>
        <w:ind w:left="2148"/>
      </w:pPr>
    </w:p>
    <w:p w14:paraId="39C77E2C" w14:textId="22D2E85A" w:rsidR="003A3222" w:rsidRPr="00EA4FEB" w:rsidRDefault="0043391D" w:rsidP="00EA4FEB">
      <w:r>
        <w:rPr>
          <w:b/>
          <w:bCs/>
        </w:rPr>
        <w:t>Kluczowe załączniki:</w:t>
      </w:r>
    </w:p>
    <w:p w14:paraId="09E08961" w14:textId="752012C7" w:rsidR="00AD1511" w:rsidRDefault="0043391D" w:rsidP="003A3222">
      <w:pPr>
        <w:pStyle w:val="Akapitzlist"/>
        <w:numPr>
          <w:ilvl w:val="0"/>
          <w:numId w:val="19"/>
        </w:numPr>
      </w:pPr>
      <w:r>
        <w:t>Dokumenty potwierdzające środki na wkład własny (jeśli brak środków własnych, mogą być to kopie promes kredytowych)</w:t>
      </w:r>
    </w:p>
    <w:p w14:paraId="4F4316D5" w14:textId="145E27F6" w:rsidR="0043391D" w:rsidRDefault="0043391D" w:rsidP="003A3222">
      <w:pPr>
        <w:pStyle w:val="Akapitzlist"/>
        <w:numPr>
          <w:ilvl w:val="0"/>
          <w:numId w:val="19"/>
        </w:numPr>
      </w:pPr>
      <w:r>
        <w:t>Kosztorysy zakupywanego sprzętu</w:t>
      </w:r>
    </w:p>
    <w:p w14:paraId="2C0C6ACE" w14:textId="6ECCD8EE" w:rsidR="0043391D" w:rsidRDefault="0043391D" w:rsidP="003A3222">
      <w:pPr>
        <w:pStyle w:val="Akapitzlist"/>
        <w:numPr>
          <w:ilvl w:val="0"/>
          <w:numId w:val="19"/>
        </w:numPr>
      </w:pPr>
      <w:r>
        <w:t>Decyzje wymagane prawem do rozpoczęcia inwestycji (w zależności od wymagalności: pozwolenie na budowę, zgłoszenie robót budowlanych, decyzja środowiskowa, zaświadczenie Natura 2000 itd.)</w:t>
      </w:r>
    </w:p>
    <w:p w14:paraId="6B1D568C" w14:textId="4BDF1874" w:rsidR="000932E3" w:rsidRDefault="000932E3" w:rsidP="000932E3">
      <w:r w:rsidRPr="000932E3">
        <w:rPr>
          <w:b/>
          <w:bCs/>
        </w:rPr>
        <w:t>Czy był już podobny nabór?</w:t>
      </w:r>
      <w:r>
        <w:t xml:space="preserve"> Tak, na początku 2024 roku. Alokacja wyniosła 154 mln zł. Rekomendację dofinansowania otrzymało 30 podmiotów, wnioskowały natomiast 52 podmioty. Maksymalna wartość wydatków wynosiła wówczas 15 mln zł, przy czym najwyższa wartość wsparcia wyniosła 4,5 mln zł, zaś średnia wartość wsparcia wyniosła 1,24 mln zł. </w:t>
      </w:r>
    </w:p>
    <w:p w14:paraId="3FE91026" w14:textId="77777777" w:rsidR="000932E3" w:rsidRDefault="000932E3" w:rsidP="000932E3"/>
    <w:p w14:paraId="23E62965" w14:textId="6F96F42C" w:rsidR="00C82AEF" w:rsidRPr="00055F10" w:rsidRDefault="006A19E5" w:rsidP="00F9659B">
      <w:pPr>
        <w:rPr>
          <w:lang w:val="en-US"/>
        </w:rPr>
      </w:pPr>
      <w:r w:rsidRPr="00055F10">
        <w:rPr>
          <w:b/>
          <w:bCs/>
          <w:lang w:val="en-US"/>
        </w:rPr>
        <w:t>Link:</w:t>
      </w:r>
      <w:r w:rsidRPr="00055F10">
        <w:rPr>
          <w:lang w:val="en-US"/>
        </w:rPr>
        <w:t xml:space="preserve"> </w:t>
      </w:r>
      <w:hyperlink r:id="rId8" w:history="1">
        <w:r w:rsidR="0043391D" w:rsidRPr="00055F10">
          <w:rPr>
            <w:rStyle w:val="Hipercze"/>
            <w:lang w:val="en-US"/>
          </w:rPr>
          <w:t>https://funduszeuedolnoslaskie.pl/nabory/12655-nabor-konkurencyjny-nr-feds0904-ip01-41926-dzialanie-feds-94-transformacja-gospodarcza</w:t>
        </w:r>
      </w:hyperlink>
      <w:r w:rsidR="0043391D" w:rsidRPr="00055F10">
        <w:rPr>
          <w:lang w:val="en-US"/>
        </w:rPr>
        <w:t xml:space="preserve"> </w:t>
      </w:r>
    </w:p>
    <w:sectPr w:rsidR="00C82AEF" w:rsidRPr="00055F10" w:rsidSect="000E2C9B">
      <w:headerReference w:type="default" r:id="rId9"/>
      <w:footerReference w:type="even" r:id="rId10"/>
      <w:footerReference w:type="default" r:id="rId11"/>
      <w:pgSz w:w="11906" w:h="16838"/>
      <w:pgMar w:top="2056" w:right="1417" w:bottom="1417"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E0825D" w14:textId="77777777" w:rsidR="003954D7" w:rsidRDefault="003954D7" w:rsidP="00605FE4">
      <w:pPr>
        <w:spacing w:after="0" w:line="240" w:lineRule="auto"/>
      </w:pPr>
      <w:r>
        <w:separator/>
      </w:r>
    </w:p>
  </w:endnote>
  <w:endnote w:type="continuationSeparator" w:id="0">
    <w:p w14:paraId="6588D338" w14:textId="77777777" w:rsidR="003954D7" w:rsidRDefault="003954D7" w:rsidP="00605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altName w:val="Calibri"/>
    <w:panose1 w:val="020B0604020202020204"/>
    <w:charset w:val="00"/>
    <w:family w:val="swiss"/>
    <w:pitch w:val="variable"/>
    <w:sig w:usb0="20000287" w:usb1="00000003" w:usb2="00000000" w:usb3="00000000" w:csb0="0000019F" w:csb1="00000000"/>
  </w:font>
  <w:font w:name="Aptos Display">
    <w:altName w:val="Calibri"/>
    <w:panose1 w:val="020B06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strony"/>
      </w:rPr>
      <w:id w:val="1724100222"/>
      <w:docPartObj>
        <w:docPartGallery w:val="Page Numbers (Bottom of Page)"/>
        <w:docPartUnique/>
      </w:docPartObj>
    </w:sdtPr>
    <w:sdtContent>
      <w:p w14:paraId="1D127DE3" w14:textId="26F85109" w:rsidR="004A6782" w:rsidRDefault="004A6782" w:rsidP="00AC6432">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end"/>
        </w:r>
      </w:p>
    </w:sdtContent>
  </w:sdt>
  <w:p w14:paraId="7D48BE57" w14:textId="77777777" w:rsidR="004A6782" w:rsidRDefault="004A6782">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1" w:name="_Hlk214633435" w:displacedByCustomXml="next"/>
  <w:bookmarkStart w:id="2" w:name="_Hlk214633434" w:displacedByCustomXml="next"/>
  <w:sdt>
    <w:sdtPr>
      <w:rPr>
        <w:rStyle w:val="Numerstrony"/>
      </w:rPr>
      <w:id w:val="-274793811"/>
      <w:docPartObj>
        <w:docPartGallery w:val="Page Numbers (Bottom of Page)"/>
        <w:docPartUnique/>
      </w:docPartObj>
    </w:sdtPr>
    <w:sdtContent>
      <w:p w14:paraId="3B093558" w14:textId="72D11D22" w:rsidR="004A6782" w:rsidRDefault="004A6782" w:rsidP="00AC6432">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noProof/>
          </w:rPr>
          <w:t>1</w:t>
        </w:r>
        <w:r>
          <w:rPr>
            <w:rStyle w:val="Numerstrony"/>
          </w:rPr>
          <w:fldChar w:fldCharType="end"/>
        </w:r>
      </w:p>
    </w:sdtContent>
  </w:sdt>
  <w:tbl>
    <w:tblPr>
      <w:tblW w:w="6398" w:type="dxa"/>
      <w:tblLook w:val="04A0" w:firstRow="1" w:lastRow="0" w:firstColumn="1" w:lastColumn="0" w:noHBand="0" w:noVBand="1"/>
    </w:tblPr>
    <w:tblGrid>
      <w:gridCol w:w="5351"/>
      <w:gridCol w:w="1047"/>
    </w:tblGrid>
    <w:tr w:rsidR="00055F10" w:rsidRPr="00605FE4" w14:paraId="64C4AC1B" w14:textId="77777777" w:rsidTr="00055F10">
      <w:trPr>
        <w:trHeight w:val="359"/>
      </w:trPr>
      <w:tc>
        <w:tcPr>
          <w:tcW w:w="5351" w:type="dxa"/>
          <w:tcBorders>
            <w:top w:val="nil"/>
            <w:left w:val="nil"/>
            <w:bottom w:val="nil"/>
            <w:right w:val="nil"/>
          </w:tcBorders>
        </w:tcPr>
        <w:p w14:paraId="276D01F6" w14:textId="77777777" w:rsidR="00055F10" w:rsidRPr="00605FE4" w:rsidRDefault="00055F10" w:rsidP="00605FE4">
          <w:pPr>
            <w:pStyle w:val="Stopka"/>
          </w:pPr>
        </w:p>
      </w:tc>
      <w:tc>
        <w:tcPr>
          <w:tcW w:w="1047" w:type="dxa"/>
          <w:tcBorders>
            <w:top w:val="nil"/>
            <w:left w:val="nil"/>
            <w:bottom w:val="nil"/>
            <w:right w:val="nil"/>
          </w:tcBorders>
        </w:tcPr>
        <w:p w14:paraId="1BF108D2" w14:textId="77777777" w:rsidR="00055F10" w:rsidRPr="00605FE4" w:rsidRDefault="00055F10" w:rsidP="00605FE4">
          <w:pPr>
            <w:pStyle w:val="Stopka"/>
          </w:pPr>
        </w:p>
      </w:tc>
    </w:tr>
    <w:tr w:rsidR="00055F10" w:rsidRPr="00605FE4" w14:paraId="6DA38C0D" w14:textId="77777777" w:rsidTr="00055F10">
      <w:trPr>
        <w:trHeight w:val="897"/>
      </w:trPr>
      <w:tc>
        <w:tcPr>
          <w:tcW w:w="5351" w:type="dxa"/>
          <w:tcBorders>
            <w:top w:val="nil"/>
            <w:left w:val="nil"/>
            <w:bottom w:val="nil"/>
            <w:right w:val="nil"/>
          </w:tcBorders>
        </w:tcPr>
        <w:p w14:paraId="18E740E2" w14:textId="496C47BE" w:rsidR="00055F10" w:rsidRPr="00605FE4" w:rsidRDefault="00055F10" w:rsidP="004A6782">
          <w:pPr>
            <w:pStyle w:val="Stopka"/>
            <w:jc w:val="center"/>
          </w:pPr>
        </w:p>
      </w:tc>
      <w:tc>
        <w:tcPr>
          <w:tcW w:w="1047" w:type="dxa"/>
          <w:tcBorders>
            <w:top w:val="nil"/>
            <w:left w:val="nil"/>
            <w:bottom w:val="nil"/>
            <w:right w:val="nil"/>
          </w:tcBorders>
        </w:tcPr>
        <w:p w14:paraId="7AB0DC4A" w14:textId="77777777" w:rsidR="00055F10" w:rsidRPr="00605FE4" w:rsidRDefault="00055F10" w:rsidP="00605FE4">
          <w:pPr>
            <w:pStyle w:val="Stopka"/>
          </w:pPr>
          <w:r w:rsidRPr="00605FE4">
            <w:t xml:space="preserve"> </w:t>
          </w:r>
        </w:p>
        <w:p w14:paraId="6DFFF9F1" w14:textId="77777777" w:rsidR="00055F10" w:rsidRPr="00605FE4" w:rsidRDefault="00055F10" w:rsidP="00605FE4">
          <w:pPr>
            <w:pStyle w:val="Stopka"/>
          </w:pPr>
          <w:r w:rsidRPr="00605FE4">
            <w:t xml:space="preserve"> </w:t>
          </w:r>
        </w:p>
      </w:tc>
    </w:tr>
  </w:tbl>
  <w:p w14:paraId="3640C4BC" w14:textId="77777777" w:rsidR="00605FE4" w:rsidRPr="00605FE4" w:rsidRDefault="00605FE4" w:rsidP="00605FE4">
    <w:pPr>
      <w:pStyle w:val="Stopka"/>
    </w:pPr>
  </w:p>
  <w:bookmarkEnd w:id="2"/>
  <w:bookmarkEnd w:id="1"/>
  <w:p w14:paraId="7AA0E6E9" w14:textId="77777777" w:rsidR="00605FE4" w:rsidRDefault="00605FE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4A0DBC" w14:textId="77777777" w:rsidR="003954D7" w:rsidRDefault="003954D7" w:rsidP="00605FE4">
      <w:pPr>
        <w:spacing w:after="0" w:line="240" w:lineRule="auto"/>
      </w:pPr>
      <w:r>
        <w:separator/>
      </w:r>
    </w:p>
  </w:footnote>
  <w:footnote w:type="continuationSeparator" w:id="0">
    <w:p w14:paraId="3E8BBD04" w14:textId="77777777" w:rsidR="003954D7" w:rsidRDefault="003954D7" w:rsidP="00605F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1EFF6A" w14:textId="62B6C32D" w:rsidR="004A6782" w:rsidRDefault="004A6782" w:rsidP="004A6782">
    <w:pPr>
      <w:pStyle w:val="Nagwek"/>
      <w:pBdr>
        <w:bottom w:val="single" w:sz="4" w:space="1" w:color="auto"/>
      </w:pBdr>
    </w:pPr>
    <w:r w:rsidRPr="00DF3522">
      <w:rPr>
        <w:noProof/>
      </w:rPr>
      <w:drawing>
        <wp:inline distT="0" distB="0" distL="0" distR="0" wp14:anchorId="186A7B67" wp14:editId="480CE107">
          <wp:extent cx="2476715" cy="594412"/>
          <wp:effectExtent l="0" t="0" r="0" b="0"/>
          <wp:docPr id="203436493" name="Obraz 1" descr="Obraz zawierający Czcionka, logo, Grafika,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36493" name="Obraz 1" descr="Obraz zawierający Czcionka, logo, Grafika, tekst&#10;&#10;Opis wygenerowany automatycznie"/>
                  <pic:cNvPicPr/>
                </pic:nvPicPr>
                <pic:blipFill>
                  <a:blip r:embed="rId1"/>
                  <a:stretch>
                    <a:fillRect/>
                  </a:stretch>
                </pic:blipFill>
                <pic:spPr>
                  <a:xfrm>
                    <a:off x="0" y="0"/>
                    <a:ext cx="2476715" cy="59441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14729"/>
    <w:multiLevelType w:val="hybridMultilevel"/>
    <w:tmpl w:val="54769E9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B8B7D44"/>
    <w:multiLevelType w:val="hybridMultilevel"/>
    <w:tmpl w:val="EB38779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 w15:restartNumberingAfterBreak="0">
    <w:nsid w:val="10552E3E"/>
    <w:multiLevelType w:val="hybridMultilevel"/>
    <w:tmpl w:val="8BDE67E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9AA403C"/>
    <w:multiLevelType w:val="hybridMultilevel"/>
    <w:tmpl w:val="D8500F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E165BA0"/>
    <w:multiLevelType w:val="multilevel"/>
    <w:tmpl w:val="8EC81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2F16DF"/>
    <w:multiLevelType w:val="multilevel"/>
    <w:tmpl w:val="94B8C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E62226"/>
    <w:multiLevelType w:val="hybridMultilevel"/>
    <w:tmpl w:val="9B2EAF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2BA03B8"/>
    <w:multiLevelType w:val="hybridMultilevel"/>
    <w:tmpl w:val="99365AC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B8252F8"/>
    <w:multiLevelType w:val="hybridMultilevel"/>
    <w:tmpl w:val="8D4058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BA051F5"/>
    <w:multiLevelType w:val="hybridMultilevel"/>
    <w:tmpl w:val="CB529F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0600984"/>
    <w:multiLevelType w:val="hybridMultilevel"/>
    <w:tmpl w:val="6E7C28A4"/>
    <w:lvl w:ilvl="0" w:tplc="04150001">
      <w:start w:val="1"/>
      <w:numFmt w:val="bullet"/>
      <w:lvlText w:val=""/>
      <w:lvlJc w:val="left"/>
      <w:pPr>
        <w:ind w:left="1068" w:hanging="360"/>
      </w:pPr>
      <w:rPr>
        <w:rFonts w:ascii="Symbol" w:hAnsi="Symbol" w:hint="default"/>
      </w:rPr>
    </w:lvl>
    <w:lvl w:ilvl="1" w:tplc="04150003">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1" w15:restartNumberingAfterBreak="0">
    <w:nsid w:val="35065A3D"/>
    <w:multiLevelType w:val="hybridMultilevel"/>
    <w:tmpl w:val="25B28DD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8666D25"/>
    <w:multiLevelType w:val="hybridMultilevel"/>
    <w:tmpl w:val="E32CC8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88D4456"/>
    <w:multiLevelType w:val="hybridMultilevel"/>
    <w:tmpl w:val="92207204"/>
    <w:lvl w:ilvl="0" w:tplc="04150001">
      <w:start w:val="1"/>
      <w:numFmt w:val="bullet"/>
      <w:lvlText w:val=""/>
      <w:lvlJc w:val="left"/>
      <w:pPr>
        <w:ind w:left="1068" w:hanging="360"/>
      </w:pPr>
      <w:rPr>
        <w:rFonts w:ascii="Symbol" w:hAnsi="Symbol" w:hint="default"/>
      </w:rPr>
    </w:lvl>
    <w:lvl w:ilvl="1" w:tplc="04150003">
      <w:start w:val="1"/>
      <w:numFmt w:val="bullet"/>
      <w:lvlText w:val="o"/>
      <w:lvlJc w:val="left"/>
      <w:pPr>
        <w:ind w:left="1788" w:hanging="360"/>
      </w:pPr>
      <w:rPr>
        <w:rFonts w:ascii="Courier New" w:hAnsi="Courier New" w:cs="Courier New" w:hint="default"/>
      </w:rPr>
    </w:lvl>
    <w:lvl w:ilvl="2" w:tplc="04150005">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4" w15:restartNumberingAfterBreak="0">
    <w:nsid w:val="3AF46D5F"/>
    <w:multiLevelType w:val="hybridMultilevel"/>
    <w:tmpl w:val="446C4018"/>
    <w:lvl w:ilvl="0" w:tplc="C8D2D394">
      <w:numFmt w:val="bullet"/>
      <w:lvlText w:val="•"/>
      <w:lvlJc w:val="left"/>
      <w:pPr>
        <w:ind w:left="360" w:hanging="360"/>
      </w:pPr>
      <w:rPr>
        <w:rFonts w:ascii="Aptos" w:eastAsiaTheme="minorHAnsi" w:hAnsi="Aptos" w:cstheme="minorBidi" w:hint="default"/>
      </w:rPr>
    </w:lvl>
    <w:lvl w:ilvl="1" w:tplc="04150003">
      <w:start w:val="1"/>
      <w:numFmt w:val="bullet"/>
      <w:lvlText w:val="o"/>
      <w:lvlJc w:val="left"/>
      <w:pPr>
        <w:ind w:left="360" w:hanging="360"/>
      </w:pPr>
      <w:rPr>
        <w:rFonts w:ascii="Courier New" w:hAnsi="Courier New" w:cs="Courier New" w:hint="default"/>
      </w:rPr>
    </w:lvl>
    <w:lvl w:ilvl="2" w:tplc="04150005">
      <w:start w:val="1"/>
      <w:numFmt w:val="bullet"/>
      <w:lvlText w:val=""/>
      <w:lvlJc w:val="left"/>
      <w:pPr>
        <w:ind w:left="1080" w:hanging="360"/>
      </w:pPr>
      <w:rPr>
        <w:rFonts w:ascii="Wingdings" w:hAnsi="Wingdings" w:hint="default"/>
      </w:rPr>
    </w:lvl>
    <w:lvl w:ilvl="3" w:tplc="04150001" w:tentative="1">
      <w:start w:val="1"/>
      <w:numFmt w:val="bullet"/>
      <w:lvlText w:val=""/>
      <w:lvlJc w:val="left"/>
      <w:pPr>
        <w:ind w:left="1800" w:hanging="360"/>
      </w:pPr>
      <w:rPr>
        <w:rFonts w:ascii="Symbol" w:hAnsi="Symbol" w:hint="default"/>
      </w:rPr>
    </w:lvl>
    <w:lvl w:ilvl="4" w:tplc="04150003" w:tentative="1">
      <w:start w:val="1"/>
      <w:numFmt w:val="bullet"/>
      <w:lvlText w:val="o"/>
      <w:lvlJc w:val="left"/>
      <w:pPr>
        <w:ind w:left="2520" w:hanging="360"/>
      </w:pPr>
      <w:rPr>
        <w:rFonts w:ascii="Courier New" w:hAnsi="Courier New" w:cs="Courier New" w:hint="default"/>
      </w:rPr>
    </w:lvl>
    <w:lvl w:ilvl="5" w:tplc="04150005" w:tentative="1">
      <w:start w:val="1"/>
      <w:numFmt w:val="bullet"/>
      <w:lvlText w:val=""/>
      <w:lvlJc w:val="left"/>
      <w:pPr>
        <w:ind w:left="3240" w:hanging="360"/>
      </w:pPr>
      <w:rPr>
        <w:rFonts w:ascii="Wingdings" w:hAnsi="Wingdings" w:hint="default"/>
      </w:rPr>
    </w:lvl>
    <w:lvl w:ilvl="6" w:tplc="04150001" w:tentative="1">
      <w:start w:val="1"/>
      <w:numFmt w:val="bullet"/>
      <w:lvlText w:val=""/>
      <w:lvlJc w:val="left"/>
      <w:pPr>
        <w:ind w:left="3960" w:hanging="360"/>
      </w:pPr>
      <w:rPr>
        <w:rFonts w:ascii="Symbol" w:hAnsi="Symbol" w:hint="default"/>
      </w:rPr>
    </w:lvl>
    <w:lvl w:ilvl="7" w:tplc="04150003" w:tentative="1">
      <w:start w:val="1"/>
      <w:numFmt w:val="bullet"/>
      <w:lvlText w:val="o"/>
      <w:lvlJc w:val="left"/>
      <w:pPr>
        <w:ind w:left="4680" w:hanging="360"/>
      </w:pPr>
      <w:rPr>
        <w:rFonts w:ascii="Courier New" w:hAnsi="Courier New" w:cs="Courier New" w:hint="default"/>
      </w:rPr>
    </w:lvl>
    <w:lvl w:ilvl="8" w:tplc="04150005" w:tentative="1">
      <w:start w:val="1"/>
      <w:numFmt w:val="bullet"/>
      <w:lvlText w:val=""/>
      <w:lvlJc w:val="left"/>
      <w:pPr>
        <w:ind w:left="5400" w:hanging="360"/>
      </w:pPr>
      <w:rPr>
        <w:rFonts w:ascii="Wingdings" w:hAnsi="Wingdings" w:hint="default"/>
      </w:rPr>
    </w:lvl>
  </w:abstractNum>
  <w:abstractNum w:abstractNumId="15" w15:restartNumberingAfterBreak="0">
    <w:nsid w:val="3BF85925"/>
    <w:multiLevelType w:val="hybridMultilevel"/>
    <w:tmpl w:val="4B3233C4"/>
    <w:lvl w:ilvl="0" w:tplc="F02C904E">
      <w:numFmt w:val="bullet"/>
      <w:lvlText w:val="•"/>
      <w:lvlJc w:val="left"/>
      <w:pPr>
        <w:ind w:left="1070" w:hanging="710"/>
      </w:pPr>
      <w:rPr>
        <w:rFonts w:ascii="Aptos" w:eastAsiaTheme="minorHAnsi" w:hAnsi="Apto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D3F601C"/>
    <w:multiLevelType w:val="hybridMultilevel"/>
    <w:tmpl w:val="B12EBB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409722DE"/>
    <w:multiLevelType w:val="multilevel"/>
    <w:tmpl w:val="94B8C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A65CCE"/>
    <w:multiLevelType w:val="hybridMultilevel"/>
    <w:tmpl w:val="26725CA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9" w15:restartNumberingAfterBreak="0">
    <w:nsid w:val="438D4A33"/>
    <w:multiLevelType w:val="multilevel"/>
    <w:tmpl w:val="94B8C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A659AD"/>
    <w:multiLevelType w:val="hybridMultilevel"/>
    <w:tmpl w:val="112ABE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834344E"/>
    <w:multiLevelType w:val="hybridMultilevel"/>
    <w:tmpl w:val="B62EA3F2"/>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A283555"/>
    <w:multiLevelType w:val="hybridMultilevel"/>
    <w:tmpl w:val="4FFE38EA"/>
    <w:lvl w:ilvl="0" w:tplc="F02C904E">
      <w:numFmt w:val="bullet"/>
      <w:lvlText w:val="•"/>
      <w:lvlJc w:val="left"/>
      <w:pPr>
        <w:ind w:left="1070" w:hanging="710"/>
      </w:pPr>
      <w:rPr>
        <w:rFonts w:ascii="Aptos" w:eastAsiaTheme="minorHAnsi" w:hAnsi="Aptos" w:cstheme="minorBidi" w:hint="default"/>
      </w:rPr>
    </w:lvl>
    <w:lvl w:ilvl="1" w:tplc="EAEAB38E">
      <w:numFmt w:val="bullet"/>
      <w:lvlText w:val=""/>
      <w:lvlJc w:val="left"/>
      <w:pPr>
        <w:ind w:left="1790" w:hanging="710"/>
      </w:pPr>
      <w:rPr>
        <w:rFonts w:ascii="Symbol" w:eastAsiaTheme="minorHAnsi" w:hAnsi="Symbol" w:cstheme="minorBidi"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A6A00F8"/>
    <w:multiLevelType w:val="hybridMultilevel"/>
    <w:tmpl w:val="CCAEDC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AC227D9"/>
    <w:multiLevelType w:val="multilevel"/>
    <w:tmpl w:val="94B8C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0435F4"/>
    <w:multiLevelType w:val="hybridMultilevel"/>
    <w:tmpl w:val="757C844E"/>
    <w:lvl w:ilvl="0" w:tplc="E57A0372">
      <w:start w:val="3"/>
      <w:numFmt w:val="bullet"/>
      <w:lvlText w:val="•"/>
      <w:lvlJc w:val="left"/>
      <w:pPr>
        <w:ind w:left="720" w:hanging="360"/>
      </w:pPr>
      <w:rPr>
        <w:rFonts w:ascii="Aptos" w:eastAsiaTheme="minorHAnsi" w:hAnsi="Apto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2233F86"/>
    <w:multiLevelType w:val="multilevel"/>
    <w:tmpl w:val="5EAA2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93234C"/>
    <w:multiLevelType w:val="hybridMultilevel"/>
    <w:tmpl w:val="ABF0838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55DF0C87"/>
    <w:multiLevelType w:val="hybridMultilevel"/>
    <w:tmpl w:val="A39294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563329A8"/>
    <w:multiLevelType w:val="hybridMultilevel"/>
    <w:tmpl w:val="7ABAB452"/>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6F36106"/>
    <w:multiLevelType w:val="multilevel"/>
    <w:tmpl w:val="94B8C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7466580"/>
    <w:multiLevelType w:val="hybridMultilevel"/>
    <w:tmpl w:val="4204040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5D001F0C"/>
    <w:multiLevelType w:val="hybridMultilevel"/>
    <w:tmpl w:val="A79472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09E6840"/>
    <w:multiLevelType w:val="hybridMultilevel"/>
    <w:tmpl w:val="FAF637E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8F43076"/>
    <w:multiLevelType w:val="hybridMultilevel"/>
    <w:tmpl w:val="9F3893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69B87FD7"/>
    <w:multiLevelType w:val="multilevel"/>
    <w:tmpl w:val="6234FD7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32B00A6"/>
    <w:multiLevelType w:val="hybridMultilevel"/>
    <w:tmpl w:val="39024B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73833A48"/>
    <w:multiLevelType w:val="hybridMultilevel"/>
    <w:tmpl w:val="26CCD9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8F52991"/>
    <w:multiLevelType w:val="hybridMultilevel"/>
    <w:tmpl w:val="8620101E"/>
    <w:lvl w:ilvl="0" w:tplc="04150001">
      <w:start w:val="1"/>
      <w:numFmt w:val="bullet"/>
      <w:lvlText w:val=""/>
      <w:lvlJc w:val="left"/>
      <w:pPr>
        <w:ind w:left="720" w:hanging="360"/>
      </w:pPr>
      <w:rPr>
        <w:rFonts w:ascii="Symbol" w:hAnsi="Symbol" w:hint="default"/>
      </w:rPr>
    </w:lvl>
    <w:lvl w:ilvl="1" w:tplc="C8D2D394">
      <w:numFmt w:val="bullet"/>
      <w:lvlText w:val="•"/>
      <w:lvlJc w:val="left"/>
      <w:pPr>
        <w:ind w:left="1440" w:hanging="360"/>
      </w:pPr>
      <w:rPr>
        <w:rFonts w:ascii="Aptos" w:eastAsiaTheme="minorHAnsi" w:hAnsi="Aptos" w:cstheme="minorBidi"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6"/>
  </w:num>
  <w:num w:numId="2">
    <w:abstractNumId w:val="22"/>
  </w:num>
  <w:num w:numId="3">
    <w:abstractNumId w:val="2"/>
  </w:num>
  <w:num w:numId="4">
    <w:abstractNumId w:val="21"/>
  </w:num>
  <w:num w:numId="5">
    <w:abstractNumId w:val="32"/>
  </w:num>
  <w:num w:numId="6">
    <w:abstractNumId w:val="15"/>
  </w:num>
  <w:num w:numId="7">
    <w:abstractNumId w:val="34"/>
  </w:num>
  <w:num w:numId="8">
    <w:abstractNumId w:val="20"/>
  </w:num>
  <w:num w:numId="9">
    <w:abstractNumId w:val="26"/>
  </w:num>
  <w:num w:numId="10">
    <w:abstractNumId w:val="3"/>
  </w:num>
  <w:num w:numId="11">
    <w:abstractNumId w:val="33"/>
  </w:num>
  <w:num w:numId="12">
    <w:abstractNumId w:val="6"/>
  </w:num>
  <w:num w:numId="13">
    <w:abstractNumId w:val="8"/>
  </w:num>
  <w:num w:numId="14">
    <w:abstractNumId w:val="35"/>
  </w:num>
  <w:num w:numId="15">
    <w:abstractNumId w:val="24"/>
  </w:num>
  <w:num w:numId="16">
    <w:abstractNumId w:val="17"/>
  </w:num>
  <w:num w:numId="17">
    <w:abstractNumId w:val="19"/>
  </w:num>
  <w:num w:numId="18">
    <w:abstractNumId w:val="30"/>
  </w:num>
  <w:num w:numId="19">
    <w:abstractNumId w:val="5"/>
  </w:num>
  <w:num w:numId="20">
    <w:abstractNumId w:val="27"/>
  </w:num>
  <w:num w:numId="21">
    <w:abstractNumId w:val="38"/>
  </w:num>
  <w:num w:numId="22">
    <w:abstractNumId w:val="28"/>
  </w:num>
  <w:num w:numId="23">
    <w:abstractNumId w:val="0"/>
  </w:num>
  <w:num w:numId="24">
    <w:abstractNumId w:val="12"/>
  </w:num>
  <w:num w:numId="25">
    <w:abstractNumId w:val="9"/>
  </w:num>
  <w:num w:numId="26">
    <w:abstractNumId w:val="31"/>
  </w:num>
  <w:num w:numId="27">
    <w:abstractNumId w:val="37"/>
  </w:num>
  <w:num w:numId="28">
    <w:abstractNumId w:val="29"/>
  </w:num>
  <w:num w:numId="29">
    <w:abstractNumId w:val="23"/>
  </w:num>
  <w:num w:numId="30">
    <w:abstractNumId w:val="7"/>
  </w:num>
  <w:num w:numId="31">
    <w:abstractNumId w:val="36"/>
  </w:num>
  <w:num w:numId="32">
    <w:abstractNumId w:val="4"/>
  </w:num>
  <w:num w:numId="33">
    <w:abstractNumId w:val="14"/>
  </w:num>
  <w:num w:numId="34">
    <w:abstractNumId w:val="11"/>
  </w:num>
  <w:num w:numId="35">
    <w:abstractNumId w:val="18"/>
  </w:num>
  <w:num w:numId="36">
    <w:abstractNumId w:val="1"/>
  </w:num>
  <w:num w:numId="37">
    <w:abstractNumId w:val="25"/>
  </w:num>
  <w:num w:numId="38">
    <w:abstractNumId w:val="10"/>
  </w:num>
  <w:num w:numId="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42B"/>
    <w:rsid w:val="00040534"/>
    <w:rsid w:val="00051EFD"/>
    <w:rsid w:val="00055F10"/>
    <w:rsid w:val="000932E3"/>
    <w:rsid w:val="000B0E69"/>
    <w:rsid w:val="000D01A4"/>
    <w:rsid w:val="000D26E0"/>
    <w:rsid w:val="000E2C9B"/>
    <w:rsid w:val="000E3183"/>
    <w:rsid w:val="001266B7"/>
    <w:rsid w:val="00157051"/>
    <w:rsid w:val="001937C2"/>
    <w:rsid w:val="001B2FC8"/>
    <w:rsid w:val="0020514C"/>
    <w:rsid w:val="00217DBB"/>
    <w:rsid w:val="00286FAA"/>
    <w:rsid w:val="002D0DB8"/>
    <w:rsid w:val="00313774"/>
    <w:rsid w:val="00353564"/>
    <w:rsid w:val="003615A5"/>
    <w:rsid w:val="00382367"/>
    <w:rsid w:val="003954D7"/>
    <w:rsid w:val="003A3222"/>
    <w:rsid w:val="003C7D2C"/>
    <w:rsid w:val="003D047F"/>
    <w:rsid w:val="003E7902"/>
    <w:rsid w:val="0043391D"/>
    <w:rsid w:val="0045042B"/>
    <w:rsid w:val="004662D2"/>
    <w:rsid w:val="00494FBA"/>
    <w:rsid w:val="004A6782"/>
    <w:rsid w:val="004B0749"/>
    <w:rsid w:val="004E0023"/>
    <w:rsid w:val="00530243"/>
    <w:rsid w:val="005464F1"/>
    <w:rsid w:val="005D34D2"/>
    <w:rsid w:val="005F29A1"/>
    <w:rsid w:val="00605FE4"/>
    <w:rsid w:val="00606725"/>
    <w:rsid w:val="006A19E5"/>
    <w:rsid w:val="006B61BE"/>
    <w:rsid w:val="006B632F"/>
    <w:rsid w:val="00734034"/>
    <w:rsid w:val="00743BEF"/>
    <w:rsid w:val="00786A18"/>
    <w:rsid w:val="00792FEA"/>
    <w:rsid w:val="0079359E"/>
    <w:rsid w:val="007C53AE"/>
    <w:rsid w:val="007F65E1"/>
    <w:rsid w:val="00824666"/>
    <w:rsid w:val="00825174"/>
    <w:rsid w:val="008607DA"/>
    <w:rsid w:val="00893B79"/>
    <w:rsid w:val="0090362B"/>
    <w:rsid w:val="00907602"/>
    <w:rsid w:val="009143FF"/>
    <w:rsid w:val="009514E3"/>
    <w:rsid w:val="00961D50"/>
    <w:rsid w:val="009F2BA4"/>
    <w:rsid w:val="00A27DB0"/>
    <w:rsid w:val="00A55D91"/>
    <w:rsid w:val="00A66BB9"/>
    <w:rsid w:val="00A72673"/>
    <w:rsid w:val="00AD1511"/>
    <w:rsid w:val="00B5294B"/>
    <w:rsid w:val="00BB418C"/>
    <w:rsid w:val="00BB5F05"/>
    <w:rsid w:val="00C03E4F"/>
    <w:rsid w:val="00C179F8"/>
    <w:rsid w:val="00C640F8"/>
    <w:rsid w:val="00C82AEF"/>
    <w:rsid w:val="00D96F67"/>
    <w:rsid w:val="00DB0731"/>
    <w:rsid w:val="00DC3F06"/>
    <w:rsid w:val="00DF6E6F"/>
    <w:rsid w:val="00E44B81"/>
    <w:rsid w:val="00E766BF"/>
    <w:rsid w:val="00E8601E"/>
    <w:rsid w:val="00E919B7"/>
    <w:rsid w:val="00EA246E"/>
    <w:rsid w:val="00EA4FEB"/>
    <w:rsid w:val="00EB37F6"/>
    <w:rsid w:val="00F261D3"/>
    <w:rsid w:val="00F56855"/>
    <w:rsid w:val="00F76642"/>
    <w:rsid w:val="00F86FC8"/>
    <w:rsid w:val="00F9659B"/>
    <w:rsid w:val="00FA3E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838100"/>
  <w15:chartTrackingRefBased/>
  <w15:docId w15:val="{AA456D92-C98F-463E-A3D5-FE8BC0F75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4662D2"/>
    <w:pPr>
      <w:spacing w:line="259" w:lineRule="auto"/>
    </w:pPr>
    <w:rPr>
      <w:sz w:val="22"/>
      <w:szCs w:val="22"/>
    </w:rPr>
  </w:style>
  <w:style w:type="paragraph" w:styleId="Nagwek1">
    <w:name w:val="heading 1"/>
    <w:basedOn w:val="Normalny"/>
    <w:next w:val="Normalny"/>
    <w:link w:val="Nagwek1Znak"/>
    <w:uiPriority w:val="9"/>
    <w:qFormat/>
    <w:rsid w:val="004504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unhideWhenUsed/>
    <w:qFormat/>
    <w:rsid w:val="004504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45042B"/>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45042B"/>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45042B"/>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45042B"/>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45042B"/>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45042B"/>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45042B"/>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5042B"/>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rsid w:val="0045042B"/>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45042B"/>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45042B"/>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45042B"/>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45042B"/>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45042B"/>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45042B"/>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45042B"/>
    <w:rPr>
      <w:rFonts w:eastAsiaTheme="majorEastAsia" w:cstheme="majorBidi"/>
      <w:color w:val="272727" w:themeColor="text1" w:themeTint="D8"/>
    </w:rPr>
  </w:style>
  <w:style w:type="paragraph" w:styleId="Tytu">
    <w:name w:val="Title"/>
    <w:basedOn w:val="Normalny"/>
    <w:next w:val="Normalny"/>
    <w:link w:val="TytuZnak"/>
    <w:uiPriority w:val="10"/>
    <w:qFormat/>
    <w:rsid w:val="004504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45042B"/>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45042B"/>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45042B"/>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45042B"/>
    <w:pPr>
      <w:spacing w:before="160"/>
      <w:jc w:val="center"/>
    </w:pPr>
    <w:rPr>
      <w:i/>
      <w:iCs/>
      <w:color w:val="404040" w:themeColor="text1" w:themeTint="BF"/>
    </w:rPr>
  </w:style>
  <w:style w:type="character" w:customStyle="1" w:styleId="CytatZnak">
    <w:name w:val="Cytat Znak"/>
    <w:basedOn w:val="Domylnaczcionkaakapitu"/>
    <w:link w:val="Cytat"/>
    <w:uiPriority w:val="29"/>
    <w:rsid w:val="0045042B"/>
    <w:rPr>
      <w:i/>
      <w:iCs/>
      <w:color w:val="404040" w:themeColor="text1" w:themeTint="BF"/>
    </w:rPr>
  </w:style>
  <w:style w:type="paragraph" w:styleId="Akapitzlist">
    <w:name w:val="List Paragraph"/>
    <w:basedOn w:val="Normalny"/>
    <w:uiPriority w:val="34"/>
    <w:qFormat/>
    <w:rsid w:val="0045042B"/>
    <w:pPr>
      <w:ind w:left="720"/>
      <w:contextualSpacing/>
    </w:pPr>
  </w:style>
  <w:style w:type="character" w:styleId="Wyrnienieintensywne">
    <w:name w:val="Intense Emphasis"/>
    <w:basedOn w:val="Domylnaczcionkaakapitu"/>
    <w:uiPriority w:val="21"/>
    <w:qFormat/>
    <w:rsid w:val="0045042B"/>
    <w:rPr>
      <w:i/>
      <w:iCs/>
      <w:color w:val="0F4761" w:themeColor="accent1" w:themeShade="BF"/>
    </w:rPr>
  </w:style>
  <w:style w:type="paragraph" w:styleId="Cytatintensywny">
    <w:name w:val="Intense Quote"/>
    <w:basedOn w:val="Normalny"/>
    <w:next w:val="Normalny"/>
    <w:link w:val="CytatintensywnyZnak"/>
    <w:uiPriority w:val="30"/>
    <w:qFormat/>
    <w:rsid w:val="004504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45042B"/>
    <w:rPr>
      <w:i/>
      <w:iCs/>
      <w:color w:val="0F4761" w:themeColor="accent1" w:themeShade="BF"/>
    </w:rPr>
  </w:style>
  <w:style w:type="character" w:styleId="Odwoanieintensywne">
    <w:name w:val="Intense Reference"/>
    <w:basedOn w:val="Domylnaczcionkaakapitu"/>
    <w:uiPriority w:val="32"/>
    <w:qFormat/>
    <w:rsid w:val="0045042B"/>
    <w:rPr>
      <w:b/>
      <w:bCs/>
      <w:smallCaps/>
      <w:color w:val="0F4761" w:themeColor="accent1" w:themeShade="BF"/>
      <w:spacing w:val="5"/>
    </w:rPr>
  </w:style>
  <w:style w:type="table" w:styleId="Tabela-Siatka">
    <w:name w:val="Table Grid"/>
    <w:basedOn w:val="Standardowy"/>
    <w:uiPriority w:val="39"/>
    <w:rsid w:val="00450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605FE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05FE4"/>
  </w:style>
  <w:style w:type="paragraph" w:styleId="Stopka">
    <w:name w:val="footer"/>
    <w:basedOn w:val="Normalny"/>
    <w:link w:val="StopkaZnak"/>
    <w:uiPriority w:val="99"/>
    <w:unhideWhenUsed/>
    <w:rsid w:val="00605FE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05FE4"/>
  </w:style>
  <w:style w:type="paragraph" w:styleId="Tekstprzypisukocowego">
    <w:name w:val="endnote text"/>
    <w:basedOn w:val="Normalny"/>
    <w:link w:val="TekstprzypisukocowegoZnak"/>
    <w:uiPriority w:val="99"/>
    <w:semiHidden/>
    <w:unhideWhenUsed/>
    <w:rsid w:val="001266B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1266B7"/>
    <w:rPr>
      <w:sz w:val="20"/>
      <w:szCs w:val="20"/>
    </w:rPr>
  </w:style>
  <w:style w:type="character" w:styleId="Odwoanieprzypisukocowego">
    <w:name w:val="endnote reference"/>
    <w:basedOn w:val="Domylnaczcionkaakapitu"/>
    <w:uiPriority w:val="99"/>
    <w:semiHidden/>
    <w:unhideWhenUsed/>
    <w:rsid w:val="001266B7"/>
    <w:rPr>
      <w:vertAlign w:val="superscript"/>
    </w:rPr>
  </w:style>
  <w:style w:type="paragraph" w:styleId="Tekstprzypisudolnego">
    <w:name w:val="footnote text"/>
    <w:basedOn w:val="Normalny"/>
    <w:link w:val="TekstprzypisudolnegoZnak"/>
    <w:uiPriority w:val="99"/>
    <w:semiHidden/>
    <w:unhideWhenUsed/>
    <w:rsid w:val="001266B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266B7"/>
    <w:rPr>
      <w:sz w:val="20"/>
      <w:szCs w:val="20"/>
    </w:rPr>
  </w:style>
  <w:style w:type="character" w:styleId="Odwoanieprzypisudolnego">
    <w:name w:val="footnote reference"/>
    <w:basedOn w:val="Domylnaczcionkaakapitu"/>
    <w:uiPriority w:val="99"/>
    <w:semiHidden/>
    <w:unhideWhenUsed/>
    <w:rsid w:val="001266B7"/>
    <w:rPr>
      <w:vertAlign w:val="superscript"/>
    </w:rPr>
  </w:style>
  <w:style w:type="paragraph" w:styleId="NormalnyWeb">
    <w:name w:val="Normal (Web)"/>
    <w:basedOn w:val="Normalny"/>
    <w:uiPriority w:val="99"/>
    <w:semiHidden/>
    <w:unhideWhenUsed/>
    <w:rsid w:val="007C53AE"/>
    <w:rPr>
      <w:rFonts w:ascii="Times New Roman" w:hAnsi="Times New Roman" w:cs="Times New Roman"/>
    </w:rPr>
  </w:style>
  <w:style w:type="character" w:styleId="Hipercze">
    <w:name w:val="Hyperlink"/>
    <w:basedOn w:val="Domylnaczcionkaakapitu"/>
    <w:uiPriority w:val="99"/>
    <w:unhideWhenUsed/>
    <w:rsid w:val="00F76642"/>
    <w:rPr>
      <w:color w:val="467886" w:themeColor="hyperlink"/>
      <w:u w:val="single"/>
    </w:rPr>
  </w:style>
  <w:style w:type="character" w:styleId="Nierozpoznanawzmianka">
    <w:name w:val="Unresolved Mention"/>
    <w:basedOn w:val="Domylnaczcionkaakapitu"/>
    <w:uiPriority w:val="99"/>
    <w:semiHidden/>
    <w:unhideWhenUsed/>
    <w:rsid w:val="00F76642"/>
    <w:rPr>
      <w:color w:val="605E5C"/>
      <w:shd w:val="clear" w:color="auto" w:fill="E1DFDD"/>
    </w:rPr>
  </w:style>
  <w:style w:type="character" w:styleId="UyteHipercze">
    <w:name w:val="FollowedHyperlink"/>
    <w:basedOn w:val="Domylnaczcionkaakapitu"/>
    <w:uiPriority w:val="99"/>
    <w:semiHidden/>
    <w:unhideWhenUsed/>
    <w:rsid w:val="00734034"/>
    <w:rPr>
      <w:color w:val="96607D" w:themeColor="followedHyperlink"/>
      <w:u w:val="single"/>
    </w:rPr>
  </w:style>
  <w:style w:type="character" w:styleId="Numerstrony">
    <w:name w:val="page number"/>
    <w:basedOn w:val="Domylnaczcionkaakapitu"/>
    <w:uiPriority w:val="99"/>
    <w:semiHidden/>
    <w:unhideWhenUsed/>
    <w:rsid w:val="004A67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unduszeuedolnoslaskie.pl/nabory/12655-nabor-konkurencyjny-nr-feds0904-ip01-41926-dzialanie-feds-94-transformacja-gospodarcz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07E73-EBB9-1E45-90D6-093B7FEDE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3</Pages>
  <Words>846</Words>
  <Characters>5080</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 Handzel</dc:creator>
  <cp:keywords/>
  <dc:description/>
  <cp:lastModifiedBy>Microsoft Office User</cp:lastModifiedBy>
  <cp:revision>8</cp:revision>
  <cp:lastPrinted>2025-10-31T12:33:00Z</cp:lastPrinted>
  <dcterms:created xsi:type="dcterms:W3CDTF">2026-01-28T15:00:00Z</dcterms:created>
  <dcterms:modified xsi:type="dcterms:W3CDTF">2026-01-29T12:48:00Z</dcterms:modified>
</cp:coreProperties>
</file>